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7A0C1"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b/>
          <w:bCs/>
          <w:color w:val="000000"/>
          <w:kern w:val="0"/>
          <w:sz w:val="22"/>
          <w:szCs w:val="22"/>
          <w:lang w:eastAsia="en-GB"/>
          <w14:ligatures w14:val="none"/>
        </w:rPr>
        <w:t>Endokrinoloogia abi kättesaadavus TÜ Kliinikumis</w:t>
      </w:r>
    </w:p>
    <w:p w14:paraId="437A55A6" w14:textId="69A0D08C" w:rsidR="00775970" w:rsidRPr="00775970"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Times New Roman" w:eastAsia="Times New Roman" w:hAnsi="Times New Roman" w:cs="Times New Roman"/>
          <w:kern w:val="0"/>
          <w:lang w:eastAsia="en-GB"/>
          <w14:ligatures w14:val="none"/>
        </w:rPr>
        <w:br/>
      </w:r>
    </w:p>
    <w:p w14:paraId="007ECB86" w14:textId="5FF653E1" w:rsidR="00775970" w:rsidRDefault="00775970" w:rsidP="00C55FD1">
      <w:pPr>
        <w:spacing w:after="0" w:line="240" w:lineRule="auto"/>
        <w:rPr>
          <w:rFonts w:ascii="Arial" w:eastAsia="Times New Roman" w:hAnsi="Arial" w:cs="Arial"/>
          <w:color w:val="000000"/>
          <w:kern w:val="0"/>
          <w:sz w:val="22"/>
          <w:szCs w:val="22"/>
          <w:lang w:eastAsia="en-GB"/>
          <w14:ligatures w14:val="none"/>
        </w:rPr>
      </w:pPr>
      <w:r>
        <w:rPr>
          <w:rFonts w:ascii="Arial" w:eastAsia="Times New Roman" w:hAnsi="Arial" w:cs="Arial"/>
          <w:color w:val="000000"/>
          <w:kern w:val="0"/>
          <w:sz w:val="22"/>
          <w:szCs w:val="22"/>
          <w:lang w:eastAsia="en-GB"/>
          <w14:ligatures w14:val="none"/>
        </w:rPr>
        <w:t>Austatud sotsiaalministeerium ning sotsiaalminister Karmen Joller!</w:t>
      </w:r>
    </w:p>
    <w:p w14:paraId="0D2597B2" w14:textId="77777777" w:rsidR="00775970" w:rsidRDefault="00775970" w:rsidP="00C55FD1">
      <w:pPr>
        <w:spacing w:after="0" w:line="240" w:lineRule="auto"/>
        <w:rPr>
          <w:rFonts w:ascii="Arial" w:eastAsia="Times New Roman" w:hAnsi="Arial" w:cs="Arial"/>
          <w:color w:val="000000"/>
          <w:kern w:val="0"/>
          <w:sz w:val="22"/>
          <w:szCs w:val="22"/>
          <w:lang w:eastAsia="en-GB"/>
          <w14:ligatures w14:val="none"/>
        </w:rPr>
      </w:pPr>
    </w:p>
    <w:p w14:paraId="7CDB4404" w14:textId="77777777" w:rsidR="00775970" w:rsidRDefault="00775970" w:rsidP="00C55FD1">
      <w:pPr>
        <w:spacing w:after="0" w:line="240" w:lineRule="auto"/>
        <w:rPr>
          <w:rFonts w:ascii="Arial" w:eastAsia="Times New Roman" w:hAnsi="Arial" w:cs="Arial"/>
          <w:color w:val="000000"/>
          <w:kern w:val="0"/>
          <w:sz w:val="22"/>
          <w:szCs w:val="22"/>
          <w:lang w:eastAsia="en-GB"/>
          <w14:ligatures w14:val="none"/>
        </w:rPr>
      </w:pPr>
    </w:p>
    <w:p w14:paraId="3AF326C0" w14:textId="3A5E01DD"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2025. aasta sügisel lahkus Tartu Ülikooli Kliinikumist töölt peaaegu kogu endokrinoloogide meeskond. Kliinikum on avalikkuses kinnitanud, et ravi jätkusuutlikkus saab olema tagatud. Eesti Patsientide Liidu poole on aga viimastel nädalatel pöördunud mitu diabeeti põdevat patsienti, kes on jäänud hätta endokrinoloogiga kontakti saamisega ning kelle hinnangul on TÜ Kliinikumis vastuvõtule väga keeruline aega saada, perearst aga ei oska tulemusi tõlgendada. Seetõttu palume Teie abi olukorra selgitamisel ja lahenduste leidmisel.</w:t>
      </w:r>
    </w:p>
    <w:p w14:paraId="1D225B3C"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4A12CB36"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Hetkel on selge, et ravi jätkusuutlikkust ei ole TÜ Kliinikum suutnud endokrinoloogia erialal tagada lepingus kokku lepitud mahus. TÜ Kliinikumi endokrinoloogia erialal on 2026. aasta jaanuaris tekkinud oluline ravivõimekuse langus. Kuigi erialal käivad üksikuid vastuvõtte tegemas mõned arstid Tallinnast, on nende koormus väike ega kata varasema kollektiivi lahkumisest tekkinud puudujääki.</w:t>
      </w:r>
    </w:p>
    <w:p w14:paraId="4E0ABC38"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0CE395E0"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Tervisekassa lepingute täitmise andmed näitavad, et endokrinoloogia erialal on kokkulepitud esimese poolaasta ravijuhtude maht 4 821, kuid jaanuaris on täidetud vaid 131 ravijuhtu, mis moodustab sellest 2,7%. Rahalises arvestuses on teenust osutatud 8 840 euro ulatuses võrreldes lepingu summaga 1 027 225 eurot, mis tähendab ligikaudu 0,9% täitmist. Samuti jääb tegelik töömaht (RJKM 67,5) oluliselt alla plaanitud taseme (RJKM 213,1). Need näitajad kinnitavad, et teenuse osutamine ei vasta lepingus kokku lepitud mahule ning selle peamine põhjus on endokrinoloogide puudus ja sellest tulenev vastuvõtuvõimekuse langus.</w:t>
      </w:r>
    </w:p>
    <w:p w14:paraId="11F96A93"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287A45B9"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Patsientide seisukohast on oluline, et nad ei jääks ravita. Paraku puudub patsiendil praegu arusaam, kuhu ja millistel tingimustel ta peaks endokrinoloogilise abi saamiseks pöörduma, kui varasem ravitee TÜ Kliinikumis ei ole enam toimiv. Diabeet on eluaegne krooniline haigus, mis vajab järjepidevat ravi ja jälgimist. Teenuse formaalne olemasolu ehk üksikud asendusvastuvõtud või konsultatsioonid ei ole samaväärne olukorraga, kus patsiendil on reaalselt võimalik oma raviarsti ja diabeediõega õigeaegselt kontakti saada, raviplaani arutada ning ravi järjepidevalt jätkata. Ravisuhte katkemine tekitab patsientides ebakindlust, usaldamatust, halvendab ravi kvaliteeti ja suurendab terviseriske.</w:t>
      </w:r>
    </w:p>
    <w:p w14:paraId="75D18626"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021445A3"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Maksumaksja ehk Tervisekassa rahastus peab toetama eelkõige teenuse tegelikku kättesaadavust ja ravivajaduse katmist. Kui mõnes raviasutuses jääb eriarstide puuduse tõttu lepingumaht täitmata, tuleb leida lahendused, et ravimaht ja rahastus oleksid kooskõlas reaalse ravivõimekusega ning patsiendil oleks võimalus saada Tervisekassa rahastusel vajalikku abi mujal. Vastasel juhul tekib olukord, kus patsiendid peavad pikalt ootama või otsima abi oma raha eest, mis ei ole õiglane.</w:t>
      </w:r>
    </w:p>
    <w:p w14:paraId="5EC02BFF"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0D64AECF"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Palume Teil selgitada:</w:t>
      </w:r>
    </w:p>
    <w:p w14:paraId="6A92E528"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Times New Roman" w:eastAsia="Times New Roman" w:hAnsi="Times New Roman" w:cs="Times New Roman"/>
          <w:kern w:val="0"/>
          <w:lang w:eastAsia="en-GB"/>
          <w14:ligatures w14:val="none"/>
        </w:rPr>
        <w:br/>
      </w:r>
    </w:p>
    <w:p w14:paraId="206E24F2" w14:textId="77777777" w:rsidR="00C55FD1" w:rsidRPr="00C55FD1" w:rsidRDefault="00C55FD1" w:rsidP="001C6087">
      <w:pPr>
        <w:numPr>
          <w:ilvl w:val="0"/>
          <w:numId w:val="4"/>
        </w:numPr>
        <w:spacing w:after="0" w:line="240" w:lineRule="auto"/>
        <w:jc w:val="both"/>
        <w:textAlignment w:val="baseline"/>
        <w:rPr>
          <w:rFonts w:ascii="Arial" w:eastAsia="Times New Roman" w:hAnsi="Arial" w:cs="Arial"/>
          <w:color w:val="000000"/>
          <w:kern w:val="0"/>
          <w:sz w:val="22"/>
          <w:szCs w:val="22"/>
          <w:lang w:eastAsia="en-GB"/>
          <w14:ligatures w14:val="none"/>
        </w:rPr>
      </w:pPr>
      <w:r w:rsidRPr="00C55FD1">
        <w:rPr>
          <w:rFonts w:ascii="Arial" w:eastAsia="Times New Roman" w:hAnsi="Arial" w:cs="Arial"/>
          <w:color w:val="000000"/>
          <w:kern w:val="0"/>
          <w:sz w:val="22"/>
          <w:szCs w:val="22"/>
          <w:lang w:eastAsia="en-GB"/>
          <w14:ligatures w14:val="none"/>
        </w:rPr>
        <w:t>Millised on Teie hinnangul TÜ Kliinikumi endokrinoloogia teenuse tegelikud võimalused 2026. aastal lepingumahtu täita?</w:t>
      </w:r>
    </w:p>
    <w:p w14:paraId="3C8C2398" w14:textId="77777777"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r w:rsidRPr="00C55FD1">
        <w:rPr>
          <w:rFonts w:ascii="Times New Roman" w:eastAsia="Times New Roman" w:hAnsi="Times New Roman" w:cs="Times New Roman"/>
          <w:kern w:val="0"/>
          <w:lang w:eastAsia="en-GB"/>
          <w14:ligatures w14:val="none"/>
        </w:rPr>
        <w:br/>
      </w:r>
    </w:p>
    <w:p w14:paraId="673E433A" w14:textId="77777777" w:rsidR="00C55FD1" w:rsidRPr="00C55FD1" w:rsidRDefault="00C55FD1" w:rsidP="001C6087">
      <w:pPr>
        <w:numPr>
          <w:ilvl w:val="0"/>
          <w:numId w:val="5"/>
        </w:numPr>
        <w:spacing w:after="0" w:line="240" w:lineRule="auto"/>
        <w:jc w:val="both"/>
        <w:textAlignment w:val="baseline"/>
        <w:rPr>
          <w:rFonts w:ascii="Arial" w:eastAsia="Times New Roman" w:hAnsi="Arial" w:cs="Arial"/>
          <w:color w:val="000000"/>
          <w:kern w:val="0"/>
          <w:sz w:val="22"/>
          <w:szCs w:val="22"/>
          <w:lang w:eastAsia="en-GB"/>
          <w14:ligatures w14:val="none"/>
        </w:rPr>
      </w:pPr>
      <w:r w:rsidRPr="00C55FD1">
        <w:rPr>
          <w:rFonts w:ascii="Arial" w:eastAsia="Times New Roman" w:hAnsi="Arial" w:cs="Arial"/>
          <w:color w:val="000000"/>
          <w:kern w:val="0"/>
          <w:sz w:val="22"/>
          <w:szCs w:val="22"/>
          <w:lang w:eastAsia="en-GB"/>
          <w14:ligatures w14:val="none"/>
        </w:rPr>
        <w:lastRenderedPageBreak/>
        <w:t>Milliseid samme kavandatakse, et tagada endrokrinoloogia patsientidele õigeaegne ja järjepidev eriarstiabi?</w:t>
      </w:r>
    </w:p>
    <w:p w14:paraId="5AA5ED13" w14:textId="02CD5620" w:rsidR="00C55FD1" w:rsidRPr="00C55FD1" w:rsidRDefault="00C55FD1" w:rsidP="001C6087">
      <w:pPr>
        <w:spacing w:after="0" w:line="240" w:lineRule="auto"/>
        <w:jc w:val="both"/>
        <w:rPr>
          <w:rFonts w:ascii="Times New Roman" w:eastAsia="Times New Roman" w:hAnsi="Times New Roman" w:cs="Times New Roman"/>
          <w:kern w:val="0"/>
          <w:lang w:eastAsia="en-GB"/>
          <w14:ligatures w14:val="none"/>
        </w:rPr>
      </w:pPr>
    </w:p>
    <w:p w14:paraId="2A84C60C" w14:textId="77777777" w:rsidR="00C55FD1" w:rsidRPr="00C55FD1" w:rsidRDefault="00C55FD1" w:rsidP="001C6087">
      <w:pPr>
        <w:numPr>
          <w:ilvl w:val="0"/>
          <w:numId w:val="6"/>
        </w:numPr>
        <w:spacing w:after="0" w:line="240" w:lineRule="auto"/>
        <w:jc w:val="both"/>
        <w:textAlignment w:val="baseline"/>
        <w:rPr>
          <w:rFonts w:ascii="Arial" w:eastAsia="Times New Roman" w:hAnsi="Arial" w:cs="Arial"/>
          <w:color w:val="000000"/>
          <w:kern w:val="0"/>
          <w:sz w:val="22"/>
          <w:szCs w:val="22"/>
          <w:lang w:eastAsia="en-GB"/>
          <w14:ligatures w14:val="none"/>
        </w:rPr>
      </w:pPr>
      <w:r w:rsidRPr="00C55FD1">
        <w:rPr>
          <w:rFonts w:ascii="Arial" w:eastAsia="Times New Roman" w:hAnsi="Arial" w:cs="Arial"/>
          <w:color w:val="000000"/>
          <w:kern w:val="0"/>
          <w:sz w:val="22"/>
          <w:szCs w:val="22"/>
          <w:lang w:eastAsia="en-GB"/>
          <w14:ligatures w14:val="none"/>
        </w:rPr>
        <w:t>Kas ja kuidas on võimalik korrigeerida ravimahtusid ja rahastust nii, et need vastaksid tegelikule teenuse osutamise võimekusele ning patsiendid ei jääks ravita?</w:t>
      </w:r>
    </w:p>
    <w:p w14:paraId="42AE9386" w14:textId="77777777" w:rsidR="00C55FD1" w:rsidRPr="00C55FD1" w:rsidRDefault="00C55FD1" w:rsidP="001C6087">
      <w:pPr>
        <w:spacing w:after="240" w:line="240" w:lineRule="auto"/>
        <w:jc w:val="both"/>
        <w:rPr>
          <w:rFonts w:ascii="Times New Roman" w:eastAsia="Times New Roman" w:hAnsi="Times New Roman" w:cs="Times New Roman"/>
          <w:kern w:val="0"/>
          <w:lang w:eastAsia="en-GB"/>
          <w14:ligatures w14:val="none"/>
        </w:rPr>
      </w:pPr>
    </w:p>
    <w:p w14:paraId="3E5E5B5D"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Lugupidamisega</w:t>
      </w:r>
    </w:p>
    <w:p w14:paraId="44E3D6E7"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p>
    <w:p w14:paraId="73B826C5"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Annika Oja</w:t>
      </w:r>
    </w:p>
    <w:p w14:paraId="7AB43F03"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Eesti Patsientide Liit</w:t>
      </w:r>
    </w:p>
    <w:p w14:paraId="6FE2420F"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color w:val="000000"/>
          <w:kern w:val="0"/>
          <w:sz w:val="22"/>
          <w:szCs w:val="22"/>
          <w:lang w:eastAsia="en-GB"/>
          <w14:ligatures w14:val="none"/>
        </w:rPr>
        <w:t>tegevjuht</w:t>
      </w:r>
    </w:p>
    <w:p w14:paraId="560D2FE9"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r w:rsidRPr="00C55FD1">
        <w:rPr>
          <w:rFonts w:ascii="Arial" w:eastAsia="Times New Roman" w:hAnsi="Arial" w:cs="Arial"/>
          <w:i/>
          <w:iCs/>
          <w:color w:val="000000"/>
          <w:kern w:val="0"/>
          <w:sz w:val="22"/>
          <w:szCs w:val="22"/>
          <w:lang w:eastAsia="en-GB"/>
          <w14:ligatures w14:val="none"/>
        </w:rPr>
        <w:t>/allkirjastatud digitaalselt/</w:t>
      </w:r>
      <w:r w:rsidRPr="00C55FD1">
        <w:rPr>
          <w:rFonts w:ascii="Arial" w:eastAsia="Times New Roman" w:hAnsi="Arial" w:cs="Arial"/>
          <w:i/>
          <w:iCs/>
          <w:color w:val="000000"/>
          <w:kern w:val="0"/>
          <w:sz w:val="22"/>
          <w:szCs w:val="22"/>
          <w:lang w:eastAsia="en-GB"/>
          <w14:ligatures w14:val="none"/>
        </w:rPr>
        <w:tab/>
      </w:r>
      <w:r w:rsidRPr="00C55FD1">
        <w:rPr>
          <w:rFonts w:ascii="Arial" w:eastAsia="Times New Roman" w:hAnsi="Arial" w:cs="Arial"/>
          <w:i/>
          <w:iCs/>
          <w:color w:val="000000"/>
          <w:kern w:val="0"/>
          <w:sz w:val="22"/>
          <w:szCs w:val="22"/>
          <w:lang w:eastAsia="en-GB"/>
          <w14:ligatures w14:val="none"/>
        </w:rPr>
        <w:tab/>
      </w:r>
      <w:r w:rsidRPr="00C55FD1">
        <w:rPr>
          <w:rFonts w:ascii="Arial" w:eastAsia="Times New Roman" w:hAnsi="Arial" w:cs="Arial"/>
          <w:i/>
          <w:iCs/>
          <w:color w:val="000000"/>
          <w:kern w:val="0"/>
          <w:sz w:val="22"/>
          <w:szCs w:val="22"/>
          <w:lang w:eastAsia="en-GB"/>
          <w14:ligatures w14:val="none"/>
        </w:rPr>
        <w:tab/>
      </w:r>
      <w:r w:rsidRPr="00C55FD1">
        <w:rPr>
          <w:rFonts w:ascii="Arial" w:eastAsia="Times New Roman" w:hAnsi="Arial" w:cs="Arial"/>
          <w:i/>
          <w:iCs/>
          <w:color w:val="000000"/>
          <w:kern w:val="0"/>
          <w:sz w:val="22"/>
          <w:szCs w:val="22"/>
          <w:lang w:eastAsia="en-GB"/>
          <w14:ligatures w14:val="none"/>
        </w:rPr>
        <w:tab/>
      </w:r>
      <w:r w:rsidRPr="00C55FD1">
        <w:rPr>
          <w:rFonts w:ascii="Arial" w:eastAsia="Times New Roman" w:hAnsi="Arial" w:cs="Arial"/>
          <w:i/>
          <w:iCs/>
          <w:color w:val="000000"/>
          <w:kern w:val="0"/>
          <w:sz w:val="22"/>
          <w:szCs w:val="22"/>
          <w:lang w:eastAsia="en-GB"/>
          <w14:ligatures w14:val="none"/>
        </w:rPr>
        <w:tab/>
      </w:r>
    </w:p>
    <w:p w14:paraId="52F3DE3A" w14:textId="77777777" w:rsidR="00C55FD1" w:rsidRPr="00C55FD1" w:rsidRDefault="00C55FD1" w:rsidP="00C55FD1">
      <w:pPr>
        <w:spacing w:after="240" w:line="240" w:lineRule="auto"/>
        <w:rPr>
          <w:rFonts w:ascii="Times New Roman" w:eastAsia="Times New Roman" w:hAnsi="Times New Roman" w:cs="Times New Roman"/>
          <w:kern w:val="0"/>
          <w:lang w:eastAsia="en-GB"/>
          <w14:ligatures w14:val="none"/>
        </w:rPr>
      </w:pPr>
      <w:r w:rsidRPr="00C55FD1">
        <w:rPr>
          <w:rFonts w:ascii="Times New Roman" w:eastAsia="Times New Roman" w:hAnsi="Times New Roman" w:cs="Times New Roman"/>
          <w:kern w:val="0"/>
          <w:lang w:eastAsia="en-GB"/>
          <w14:ligatures w14:val="none"/>
        </w:rPr>
        <w:br/>
      </w:r>
    </w:p>
    <w:p w14:paraId="70A13614" w14:textId="77777777" w:rsidR="00C55FD1" w:rsidRPr="00C55FD1" w:rsidRDefault="00C55FD1" w:rsidP="00C55FD1">
      <w:pPr>
        <w:spacing w:after="0" w:line="240" w:lineRule="auto"/>
        <w:rPr>
          <w:rFonts w:ascii="Times New Roman" w:eastAsia="Times New Roman" w:hAnsi="Times New Roman" w:cs="Times New Roman"/>
          <w:kern w:val="0"/>
          <w:lang w:eastAsia="en-GB"/>
          <w14:ligatures w14:val="none"/>
        </w:rPr>
      </w:pPr>
    </w:p>
    <w:p w14:paraId="6D94703E" w14:textId="77777777" w:rsidR="00C55FD1" w:rsidRDefault="00C55FD1"/>
    <w:sectPr w:rsidR="00C55FD1" w:rsidSect="00C55FD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45E"/>
    <w:multiLevelType w:val="hybridMultilevel"/>
    <w:tmpl w:val="A9ACD54E"/>
    <w:lvl w:ilvl="0" w:tplc="BE3C8672">
      <w:start w:val="2"/>
      <w:numFmt w:val="lowerLetter"/>
      <w:lvlText w:val="%1."/>
      <w:lvlJc w:val="left"/>
      <w:pPr>
        <w:tabs>
          <w:tab w:val="num" w:pos="720"/>
        </w:tabs>
        <w:ind w:left="720" w:hanging="360"/>
      </w:pPr>
    </w:lvl>
    <w:lvl w:ilvl="1" w:tplc="2242A57E" w:tentative="1">
      <w:start w:val="1"/>
      <w:numFmt w:val="decimal"/>
      <w:lvlText w:val="%2."/>
      <w:lvlJc w:val="left"/>
      <w:pPr>
        <w:tabs>
          <w:tab w:val="num" w:pos="1440"/>
        </w:tabs>
        <w:ind w:left="1440" w:hanging="360"/>
      </w:pPr>
    </w:lvl>
    <w:lvl w:ilvl="2" w:tplc="6D6C1F5E" w:tentative="1">
      <w:start w:val="1"/>
      <w:numFmt w:val="decimal"/>
      <w:lvlText w:val="%3."/>
      <w:lvlJc w:val="left"/>
      <w:pPr>
        <w:tabs>
          <w:tab w:val="num" w:pos="2160"/>
        </w:tabs>
        <w:ind w:left="2160" w:hanging="360"/>
      </w:pPr>
    </w:lvl>
    <w:lvl w:ilvl="3" w:tplc="D6FACA20" w:tentative="1">
      <w:start w:val="1"/>
      <w:numFmt w:val="decimal"/>
      <w:lvlText w:val="%4."/>
      <w:lvlJc w:val="left"/>
      <w:pPr>
        <w:tabs>
          <w:tab w:val="num" w:pos="2880"/>
        </w:tabs>
        <w:ind w:left="2880" w:hanging="360"/>
      </w:pPr>
    </w:lvl>
    <w:lvl w:ilvl="4" w:tplc="D5803E68" w:tentative="1">
      <w:start w:val="1"/>
      <w:numFmt w:val="decimal"/>
      <w:lvlText w:val="%5."/>
      <w:lvlJc w:val="left"/>
      <w:pPr>
        <w:tabs>
          <w:tab w:val="num" w:pos="3600"/>
        </w:tabs>
        <w:ind w:left="3600" w:hanging="360"/>
      </w:pPr>
    </w:lvl>
    <w:lvl w:ilvl="5" w:tplc="AFE4450E" w:tentative="1">
      <w:start w:val="1"/>
      <w:numFmt w:val="decimal"/>
      <w:lvlText w:val="%6."/>
      <w:lvlJc w:val="left"/>
      <w:pPr>
        <w:tabs>
          <w:tab w:val="num" w:pos="4320"/>
        </w:tabs>
        <w:ind w:left="4320" w:hanging="360"/>
      </w:pPr>
    </w:lvl>
    <w:lvl w:ilvl="6" w:tplc="90FEEEF0" w:tentative="1">
      <w:start w:val="1"/>
      <w:numFmt w:val="decimal"/>
      <w:lvlText w:val="%7."/>
      <w:lvlJc w:val="left"/>
      <w:pPr>
        <w:tabs>
          <w:tab w:val="num" w:pos="5040"/>
        </w:tabs>
        <w:ind w:left="5040" w:hanging="360"/>
      </w:pPr>
    </w:lvl>
    <w:lvl w:ilvl="7" w:tplc="2F82FA12" w:tentative="1">
      <w:start w:val="1"/>
      <w:numFmt w:val="decimal"/>
      <w:lvlText w:val="%8."/>
      <w:lvlJc w:val="left"/>
      <w:pPr>
        <w:tabs>
          <w:tab w:val="num" w:pos="5760"/>
        </w:tabs>
        <w:ind w:left="5760" w:hanging="360"/>
      </w:pPr>
    </w:lvl>
    <w:lvl w:ilvl="8" w:tplc="2CF642D2" w:tentative="1">
      <w:start w:val="1"/>
      <w:numFmt w:val="decimal"/>
      <w:lvlText w:val="%9."/>
      <w:lvlJc w:val="left"/>
      <w:pPr>
        <w:tabs>
          <w:tab w:val="num" w:pos="6480"/>
        </w:tabs>
        <w:ind w:left="6480" w:hanging="360"/>
      </w:pPr>
    </w:lvl>
  </w:abstractNum>
  <w:abstractNum w:abstractNumId="1" w15:restartNumberingAfterBreak="0">
    <w:nsid w:val="12EE6289"/>
    <w:multiLevelType w:val="multilevel"/>
    <w:tmpl w:val="D878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0C6BF3"/>
    <w:multiLevelType w:val="hybridMultilevel"/>
    <w:tmpl w:val="1E32B5AA"/>
    <w:lvl w:ilvl="0" w:tplc="CCD00248">
      <w:start w:val="2"/>
      <w:numFmt w:val="lowerLetter"/>
      <w:lvlText w:val="%1."/>
      <w:lvlJc w:val="left"/>
      <w:pPr>
        <w:tabs>
          <w:tab w:val="num" w:pos="720"/>
        </w:tabs>
        <w:ind w:left="720" w:hanging="360"/>
      </w:pPr>
    </w:lvl>
    <w:lvl w:ilvl="1" w:tplc="E3A82006" w:tentative="1">
      <w:start w:val="1"/>
      <w:numFmt w:val="decimal"/>
      <w:lvlText w:val="%2."/>
      <w:lvlJc w:val="left"/>
      <w:pPr>
        <w:tabs>
          <w:tab w:val="num" w:pos="1440"/>
        </w:tabs>
        <w:ind w:left="1440" w:hanging="360"/>
      </w:pPr>
    </w:lvl>
    <w:lvl w:ilvl="2" w:tplc="EB90A360" w:tentative="1">
      <w:start w:val="1"/>
      <w:numFmt w:val="decimal"/>
      <w:lvlText w:val="%3."/>
      <w:lvlJc w:val="left"/>
      <w:pPr>
        <w:tabs>
          <w:tab w:val="num" w:pos="2160"/>
        </w:tabs>
        <w:ind w:left="2160" w:hanging="360"/>
      </w:pPr>
    </w:lvl>
    <w:lvl w:ilvl="3" w:tplc="3B0A5032" w:tentative="1">
      <w:start w:val="1"/>
      <w:numFmt w:val="decimal"/>
      <w:lvlText w:val="%4."/>
      <w:lvlJc w:val="left"/>
      <w:pPr>
        <w:tabs>
          <w:tab w:val="num" w:pos="2880"/>
        </w:tabs>
        <w:ind w:left="2880" w:hanging="360"/>
      </w:pPr>
    </w:lvl>
    <w:lvl w:ilvl="4" w:tplc="F1EEE086" w:tentative="1">
      <w:start w:val="1"/>
      <w:numFmt w:val="decimal"/>
      <w:lvlText w:val="%5."/>
      <w:lvlJc w:val="left"/>
      <w:pPr>
        <w:tabs>
          <w:tab w:val="num" w:pos="3600"/>
        </w:tabs>
        <w:ind w:left="3600" w:hanging="360"/>
      </w:pPr>
    </w:lvl>
    <w:lvl w:ilvl="5" w:tplc="112061B4" w:tentative="1">
      <w:start w:val="1"/>
      <w:numFmt w:val="decimal"/>
      <w:lvlText w:val="%6."/>
      <w:lvlJc w:val="left"/>
      <w:pPr>
        <w:tabs>
          <w:tab w:val="num" w:pos="4320"/>
        </w:tabs>
        <w:ind w:left="4320" w:hanging="360"/>
      </w:pPr>
    </w:lvl>
    <w:lvl w:ilvl="6" w:tplc="8D4E5960" w:tentative="1">
      <w:start w:val="1"/>
      <w:numFmt w:val="decimal"/>
      <w:lvlText w:val="%7."/>
      <w:lvlJc w:val="left"/>
      <w:pPr>
        <w:tabs>
          <w:tab w:val="num" w:pos="5040"/>
        </w:tabs>
        <w:ind w:left="5040" w:hanging="360"/>
      </w:pPr>
    </w:lvl>
    <w:lvl w:ilvl="7" w:tplc="27D478FA" w:tentative="1">
      <w:start w:val="1"/>
      <w:numFmt w:val="decimal"/>
      <w:lvlText w:val="%8."/>
      <w:lvlJc w:val="left"/>
      <w:pPr>
        <w:tabs>
          <w:tab w:val="num" w:pos="5760"/>
        </w:tabs>
        <w:ind w:left="5760" w:hanging="360"/>
      </w:pPr>
    </w:lvl>
    <w:lvl w:ilvl="8" w:tplc="9B7EC776" w:tentative="1">
      <w:start w:val="1"/>
      <w:numFmt w:val="decimal"/>
      <w:lvlText w:val="%9."/>
      <w:lvlJc w:val="left"/>
      <w:pPr>
        <w:tabs>
          <w:tab w:val="num" w:pos="6480"/>
        </w:tabs>
        <w:ind w:left="6480" w:hanging="360"/>
      </w:pPr>
    </w:lvl>
  </w:abstractNum>
  <w:abstractNum w:abstractNumId="3" w15:restartNumberingAfterBreak="0">
    <w:nsid w:val="2AD85832"/>
    <w:multiLevelType w:val="multilevel"/>
    <w:tmpl w:val="9DCA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BA2AE2"/>
    <w:multiLevelType w:val="multilevel"/>
    <w:tmpl w:val="D8D27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5131F2"/>
    <w:multiLevelType w:val="multilevel"/>
    <w:tmpl w:val="8516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4264086">
    <w:abstractNumId w:val="4"/>
    <w:lvlOverride w:ilvl="0">
      <w:lvl w:ilvl="0">
        <w:numFmt w:val="lowerLetter"/>
        <w:lvlText w:val="%1."/>
        <w:lvlJc w:val="left"/>
      </w:lvl>
    </w:lvlOverride>
  </w:num>
  <w:num w:numId="2" w16cid:durableId="924266015">
    <w:abstractNumId w:val="2"/>
  </w:num>
  <w:num w:numId="3" w16cid:durableId="1633367730">
    <w:abstractNumId w:val="0"/>
  </w:num>
  <w:num w:numId="4" w16cid:durableId="1008480377">
    <w:abstractNumId w:val="1"/>
  </w:num>
  <w:num w:numId="5" w16cid:durableId="1043796316">
    <w:abstractNumId w:val="5"/>
  </w:num>
  <w:num w:numId="6" w16cid:durableId="603653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FD1"/>
    <w:rsid w:val="001C6087"/>
    <w:rsid w:val="00456FA3"/>
    <w:rsid w:val="00775970"/>
    <w:rsid w:val="00C55FD1"/>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0A94E058"/>
  <w15:chartTrackingRefBased/>
  <w15:docId w15:val="{45E1E4AB-7788-6949-8E10-5A526B72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5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5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5F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5F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5F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5F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5F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5F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5F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F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5F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5F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5F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5F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5F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5F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5F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5FD1"/>
    <w:rPr>
      <w:rFonts w:eastAsiaTheme="majorEastAsia" w:cstheme="majorBidi"/>
      <w:color w:val="272727" w:themeColor="text1" w:themeTint="D8"/>
    </w:rPr>
  </w:style>
  <w:style w:type="paragraph" w:styleId="Title">
    <w:name w:val="Title"/>
    <w:basedOn w:val="Normal"/>
    <w:next w:val="Normal"/>
    <w:link w:val="TitleChar"/>
    <w:uiPriority w:val="10"/>
    <w:qFormat/>
    <w:rsid w:val="00C55F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5F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5F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5F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5FD1"/>
    <w:pPr>
      <w:spacing w:before="160"/>
      <w:jc w:val="center"/>
    </w:pPr>
    <w:rPr>
      <w:i/>
      <w:iCs/>
      <w:color w:val="404040" w:themeColor="text1" w:themeTint="BF"/>
    </w:rPr>
  </w:style>
  <w:style w:type="character" w:customStyle="1" w:styleId="QuoteChar">
    <w:name w:val="Quote Char"/>
    <w:basedOn w:val="DefaultParagraphFont"/>
    <w:link w:val="Quote"/>
    <w:uiPriority w:val="29"/>
    <w:rsid w:val="00C55FD1"/>
    <w:rPr>
      <w:i/>
      <w:iCs/>
      <w:color w:val="404040" w:themeColor="text1" w:themeTint="BF"/>
    </w:rPr>
  </w:style>
  <w:style w:type="paragraph" w:styleId="ListParagraph">
    <w:name w:val="List Paragraph"/>
    <w:basedOn w:val="Normal"/>
    <w:uiPriority w:val="34"/>
    <w:qFormat/>
    <w:rsid w:val="00C55FD1"/>
    <w:pPr>
      <w:ind w:left="720"/>
      <w:contextualSpacing/>
    </w:pPr>
  </w:style>
  <w:style w:type="character" w:styleId="IntenseEmphasis">
    <w:name w:val="Intense Emphasis"/>
    <w:basedOn w:val="DefaultParagraphFont"/>
    <w:uiPriority w:val="21"/>
    <w:qFormat/>
    <w:rsid w:val="00C55FD1"/>
    <w:rPr>
      <w:i/>
      <w:iCs/>
      <w:color w:val="0F4761" w:themeColor="accent1" w:themeShade="BF"/>
    </w:rPr>
  </w:style>
  <w:style w:type="paragraph" w:styleId="IntenseQuote">
    <w:name w:val="Intense Quote"/>
    <w:basedOn w:val="Normal"/>
    <w:next w:val="Normal"/>
    <w:link w:val="IntenseQuoteChar"/>
    <w:uiPriority w:val="30"/>
    <w:qFormat/>
    <w:rsid w:val="00C55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5FD1"/>
    <w:rPr>
      <w:i/>
      <w:iCs/>
      <w:color w:val="0F4761" w:themeColor="accent1" w:themeShade="BF"/>
    </w:rPr>
  </w:style>
  <w:style w:type="character" w:styleId="IntenseReference">
    <w:name w:val="Intense Reference"/>
    <w:basedOn w:val="DefaultParagraphFont"/>
    <w:uiPriority w:val="32"/>
    <w:qFormat/>
    <w:rsid w:val="00C55FD1"/>
    <w:rPr>
      <w:b/>
      <w:bCs/>
      <w:smallCaps/>
      <w:color w:val="0F4761" w:themeColor="accent1" w:themeShade="BF"/>
      <w:spacing w:val="5"/>
    </w:rPr>
  </w:style>
  <w:style w:type="paragraph" w:styleId="NormalWeb">
    <w:name w:val="Normal (Web)"/>
    <w:basedOn w:val="Normal"/>
    <w:uiPriority w:val="99"/>
    <w:semiHidden/>
    <w:unhideWhenUsed/>
    <w:rsid w:val="00C55FD1"/>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C55FD1"/>
    <w:rPr>
      <w:color w:val="0000FF"/>
      <w:u w:val="single"/>
    </w:rPr>
  </w:style>
  <w:style w:type="character" w:customStyle="1" w:styleId="apple-tab-span">
    <w:name w:val="apple-tab-span"/>
    <w:basedOn w:val="DefaultParagraphFont"/>
    <w:rsid w:val="00C55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502</Words>
  <Characters>2862</Characters>
  <Application>Microsoft Office Word</Application>
  <DocSecurity>0</DocSecurity>
  <Lines>23</Lines>
  <Paragraphs>6</Paragraphs>
  <ScaleCrop>false</ScaleCrop>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Oja</dc:creator>
  <cp:keywords/>
  <dc:description/>
  <cp:lastModifiedBy>Annika Oja</cp:lastModifiedBy>
  <cp:revision>3</cp:revision>
  <dcterms:created xsi:type="dcterms:W3CDTF">2026-01-28T09:21:00Z</dcterms:created>
  <dcterms:modified xsi:type="dcterms:W3CDTF">2026-01-28T09:26:00Z</dcterms:modified>
</cp:coreProperties>
</file>